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jc w:val="left"/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附件1-2</w:t>
      </w:r>
    </w:p>
    <w:p>
      <w:pPr>
        <w:pStyle w:val="4"/>
        <w:widowControl w:val="0"/>
        <w:spacing w:before="0" w:beforeAutospacing="0" w:after="0" w:afterAutospacing="0" w:line="800" w:lineRule="exact"/>
        <w:jc w:val="center"/>
        <w:rPr>
          <w:rStyle w:val="7"/>
          <w:rFonts w:cs="Times New Roman"/>
          <w:bCs w:val="0"/>
          <w:spacing w:val="-23"/>
          <w:sz w:val="36"/>
          <w:szCs w:val="36"/>
        </w:rPr>
      </w:pPr>
      <w:r>
        <w:rPr>
          <w:rStyle w:val="7"/>
          <w:rFonts w:hint="eastAsia" w:cs="Times New Roman"/>
          <w:bCs w:val="0"/>
          <w:spacing w:val="-23"/>
          <w:sz w:val="36"/>
          <w:szCs w:val="36"/>
          <w:lang w:eastAsia="zh-CN"/>
        </w:rPr>
        <w:t>2023</w:t>
      </w:r>
      <w:r>
        <w:rPr>
          <w:rStyle w:val="7"/>
          <w:rFonts w:cs="Times New Roman"/>
          <w:bCs w:val="0"/>
          <w:spacing w:val="-23"/>
          <w:sz w:val="36"/>
          <w:szCs w:val="36"/>
        </w:rPr>
        <w:t>年度</w:t>
      </w:r>
      <w:r>
        <w:rPr>
          <w:rStyle w:val="7"/>
          <w:rFonts w:hint="eastAsia" w:cs="Times New Roman"/>
          <w:bCs w:val="0"/>
          <w:spacing w:val="-23"/>
          <w:sz w:val="36"/>
          <w:szCs w:val="36"/>
        </w:rPr>
        <w:t>新晃县</w:t>
      </w:r>
      <w:r>
        <w:rPr>
          <w:rStyle w:val="7"/>
          <w:rFonts w:hint="eastAsia" w:cs="Times New Roman"/>
          <w:bCs w:val="0"/>
          <w:spacing w:val="-23"/>
          <w:sz w:val="36"/>
          <w:szCs w:val="36"/>
          <w:lang w:eastAsia="zh-CN"/>
        </w:rPr>
        <w:t>退役军人事务局</w:t>
      </w:r>
      <w:r>
        <w:rPr>
          <w:rStyle w:val="7"/>
          <w:rFonts w:cs="Times New Roman"/>
          <w:bCs w:val="0"/>
          <w:spacing w:val="-23"/>
          <w:sz w:val="36"/>
          <w:szCs w:val="36"/>
        </w:rPr>
        <w:t>整体支出绩效自评报告</w:t>
      </w:r>
    </w:p>
    <w:p>
      <w:pPr>
        <w:spacing w:before="240" w:line="560" w:lineRule="exact"/>
        <w:ind w:firstLine="400" w:firstLineChars="200"/>
        <w:jc w:val="left"/>
      </w:pPr>
    </w:p>
    <w:p>
      <w:pPr>
        <w:spacing w:before="240" w:line="560" w:lineRule="exact"/>
        <w:ind w:firstLine="400" w:firstLineChars="200"/>
        <w:jc w:val="left"/>
        <w:rPr>
          <w:rFonts w:hint="eastAsia" w:ascii="宋体" w:hAnsi="宋体"/>
        </w:rPr>
      </w:pPr>
      <w:bookmarkStart w:id="0" w:name="_GoBack"/>
      <w:bookmarkEnd w:id="0"/>
      <w:r>
        <w:t xml:space="preserve">  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</w:rPr>
        <w:t>一、部门（单位）基本概况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（一）</w:t>
      </w:r>
      <w:r>
        <w:rPr>
          <w:rFonts w:hint="eastAsia" w:eastAsia="仿宋_GB2312"/>
          <w:kern w:val="0"/>
          <w:sz w:val="32"/>
          <w:szCs w:val="32"/>
        </w:rPr>
        <w:t>主要职责。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10" w:lineRule="atLeast"/>
        <w:ind w:left="0" w:right="0" w:firstLine="42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1.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贯彻执行退役军人思想政治、管理保障和安置优抚等工作政策法规；褒扬彰显退役军人为党、国家和人民牺牲奉献的精神风范和价值导向。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10" w:lineRule="atLeast"/>
        <w:ind w:left="0" w:right="0" w:firstLine="42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2.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负责全县军队转业干部、复员干部、离休退休干部、退役士兵和无军籍退休退职职工的移交安置工作和自主择业、就业退役军人服务管理工作。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10" w:lineRule="atLeast"/>
        <w:ind w:left="0" w:right="0" w:firstLine="42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3.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组织指导全县退役军人教育培训工作，协调扶持退役军人和随军随调家属就业创业。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10" w:lineRule="atLeast"/>
        <w:ind w:left="0" w:right="0" w:firstLine="42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4.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贯彻落实国家关于退役军人的特殊保障政策，会同有关部门制定我县相关政策，并组织实施。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10" w:lineRule="atLeast"/>
        <w:ind w:left="0" w:right="0" w:firstLine="42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5.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组织协调落实全县移交地方的离休退休军人、符合条件的其他退役军人和无军籍退休退职职工的住房保障工作，以及退役军人医疗保障、社会保险等待遇保障工作。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10" w:lineRule="atLeast"/>
        <w:ind w:left="0" w:right="0" w:firstLine="42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6.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组织指导全县伤病残退役军人服务管理和抚恤工作，贯彻落实退役军人医疗、疗养、养老等机构的规划政策并指导实施；承担不适宜继续服役的伤病残军人相关工作；组织指导全县军供服务保障工作。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10" w:lineRule="atLeast"/>
        <w:ind w:left="0" w:right="0" w:firstLine="42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7.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组织指导全县拥军优属工作。负责全县现役军人、退役军人、军队文职人员和军属优待、抚恤等工作，以及国民党抗战老兵等有关人员的优待工作。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10" w:lineRule="atLeast"/>
        <w:ind w:left="0" w:right="0" w:firstLine="42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8.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负责全县烈士及退役军人荣誉奖励、军人公墓管理维护、纪念活动等工作，依法承担英雄烈士保护相关工作；审核拟列入全县重点保护单位的烈士纪念建筑物名录；总结表彰和宣扬退役军人、退役军人工作单位和个人先进典型事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10" w:lineRule="atLeast"/>
        <w:ind w:left="0" w:right="0" w:firstLine="42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9.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指导并监督检查关于退役军人相关法律法规和政策措施的落实；开展退役军人权益维护和有关人员的帮扶援助工作。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10" w:lineRule="atLeast"/>
        <w:ind w:left="0" w:right="0" w:firstLine="42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10.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完成县委、县政府交办的其他任务。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10" w:lineRule="atLeast"/>
        <w:ind w:left="0" w:right="0" w:firstLine="42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11.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协调各方力量更好为军人军属服务，维护军人军属合法权益，让军人成为全社会尊崇的职业，更好地为增强部队战斗力和凝聚力做好组织保障。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left"/>
        <w:textAlignment w:val="auto"/>
        <w:rPr>
          <w:rFonts w:hint="eastAsia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（二）内设机构及人员情况</w:t>
      </w:r>
      <w:r>
        <w:rPr>
          <w:rFonts w:hint="eastAsia" w:eastAsia="仿宋_GB2312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left"/>
        <w:textAlignment w:val="auto"/>
        <w:rPr>
          <w:rFonts w:hint="eastAsia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退役军人事务局内设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办公室、思想政治和权益维护股(政策法规股)、移交安置和就业创业股(军休管理股)、拥军优抚股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四个股室，下属非财务独立核算二级机构三个：退役军人服务中心，光荣院，烈士陵园管理所。核定编制23人，实有在岗在编19人；其中三级调研员1人，四级调研员1人，正科级干部2人，副科级干部1人，事业编制人员14人。</w:t>
      </w:r>
      <w:r>
        <w:rPr>
          <w:rFonts w:hint="eastAsia" w:eastAsia="仿宋_GB2312"/>
          <w:kern w:val="0"/>
          <w:sz w:val="32"/>
          <w:szCs w:val="32"/>
        </w:rPr>
        <w:t>本级单位为一级预算单位，无下级预算单位，财务实行统一核算。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10" w:lineRule="atLeast"/>
        <w:ind w:right="0" w:firstLine="640" w:firstLineChars="20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eastAsia="仿宋_GB2312"/>
          <w:kern w:val="0"/>
          <w:sz w:val="32"/>
          <w:szCs w:val="32"/>
        </w:rPr>
        <w:t>（</w:t>
      </w:r>
      <w:r>
        <w:rPr>
          <w:rFonts w:hint="eastAsia" w:eastAsia="仿宋_GB2312"/>
          <w:kern w:val="0"/>
          <w:sz w:val="32"/>
          <w:szCs w:val="32"/>
          <w:lang w:eastAsia="zh-CN"/>
        </w:rPr>
        <w:t>三</w:t>
      </w:r>
      <w:r>
        <w:rPr>
          <w:rFonts w:hint="eastAsia" w:eastAsia="仿宋_GB2312"/>
          <w:kern w:val="0"/>
          <w:sz w:val="32"/>
          <w:szCs w:val="32"/>
        </w:rPr>
        <w:t>）</w:t>
      </w:r>
      <w:r>
        <w:rPr>
          <w:rFonts w:eastAsia="仿宋_GB2312"/>
          <w:kern w:val="0"/>
          <w:sz w:val="32"/>
          <w:szCs w:val="32"/>
        </w:rPr>
        <w:t>20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23</w:t>
      </w:r>
      <w:r>
        <w:rPr>
          <w:rFonts w:eastAsia="仿宋_GB2312"/>
          <w:kern w:val="0"/>
          <w:sz w:val="32"/>
          <w:szCs w:val="32"/>
        </w:rPr>
        <w:t>年度财政收支和年末固定资产状况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left"/>
        <w:textAlignment w:val="auto"/>
        <w:rPr>
          <w:rFonts w:hint="eastAsia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20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23</w:t>
      </w:r>
      <w:r>
        <w:rPr>
          <w:rFonts w:hint="eastAsia" w:eastAsia="仿宋_GB2312"/>
          <w:kern w:val="0"/>
          <w:sz w:val="32"/>
          <w:szCs w:val="32"/>
        </w:rPr>
        <w:t>年决算总收入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2398.55</w:t>
      </w:r>
      <w:r>
        <w:rPr>
          <w:rFonts w:hint="eastAsia" w:eastAsia="仿宋_GB2312"/>
          <w:kern w:val="0"/>
          <w:sz w:val="32"/>
          <w:szCs w:val="32"/>
        </w:rPr>
        <w:t>万元，决算总支出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2398.55</w:t>
      </w:r>
      <w:r>
        <w:rPr>
          <w:rFonts w:hint="eastAsia" w:eastAsia="仿宋_GB2312"/>
          <w:kern w:val="0"/>
          <w:sz w:val="32"/>
          <w:szCs w:val="32"/>
        </w:rPr>
        <w:t>万元，年初预算总收入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2326.11</w:t>
      </w:r>
      <w:r>
        <w:rPr>
          <w:rFonts w:hint="eastAsia" w:eastAsia="仿宋_GB2312"/>
          <w:kern w:val="0"/>
          <w:sz w:val="32"/>
          <w:szCs w:val="32"/>
        </w:rPr>
        <w:t>万元，年初预算总支出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2326.11</w:t>
      </w:r>
      <w:r>
        <w:rPr>
          <w:rFonts w:hint="eastAsia" w:eastAsia="仿宋_GB2312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left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决算支出中，基本支出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330.88万元，项目支出2067.67万元。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left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决算总支出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2398.55</w:t>
      </w:r>
      <w:r>
        <w:rPr>
          <w:rFonts w:hint="eastAsia" w:eastAsia="仿宋_GB2312"/>
          <w:kern w:val="0"/>
          <w:sz w:val="32"/>
          <w:szCs w:val="32"/>
        </w:rPr>
        <w:t>万元中，工资福利支出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256.46</w:t>
      </w:r>
      <w:r>
        <w:rPr>
          <w:rFonts w:hint="eastAsia" w:eastAsia="仿宋_GB2312"/>
          <w:kern w:val="0"/>
          <w:sz w:val="32"/>
          <w:szCs w:val="32"/>
        </w:rPr>
        <w:t>万元，商品和服务支出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185.62</w:t>
      </w:r>
      <w:r>
        <w:rPr>
          <w:rFonts w:hint="eastAsia" w:eastAsia="仿宋_GB2312"/>
          <w:kern w:val="0"/>
          <w:sz w:val="32"/>
          <w:szCs w:val="32"/>
        </w:rPr>
        <w:t>万元，对个人和家庭补助支出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1956.47</w:t>
      </w:r>
      <w:r>
        <w:rPr>
          <w:rFonts w:hint="eastAsia" w:eastAsia="仿宋_GB2312"/>
          <w:kern w:val="0"/>
          <w:sz w:val="32"/>
          <w:szCs w:val="32"/>
        </w:rPr>
        <w:t>万元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left"/>
        <w:textAlignment w:val="auto"/>
        <w:rPr>
          <w:rFonts w:hint="eastAsia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严格控制“三公”经费支出。20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23</w:t>
      </w:r>
      <w:r>
        <w:rPr>
          <w:rFonts w:hint="eastAsia" w:eastAsia="仿宋_GB2312"/>
          <w:kern w:val="0"/>
          <w:sz w:val="32"/>
          <w:szCs w:val="32"/>
        </w:rPr>
        <w:t>年公务车平台托管到本单位公务用车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/>
          <w:kern w:val="0"/>
          <w:sz w:val="32"/>
          <w:szCs w:val="32"/>
        </w:rPr>
        <w:t>辆，“三公”经费支出预算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eastAsia="仿宋_GB2312"/>
          <w:kern w:val="0"/>
          <w:sz w:val="32"/>
          <w:szCs w:val="32"/>
        </w:rPr>
        <w:t>万元，其中：公务用车运行维护费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/>
          <w:kern w:val="0"/>
          <w:sz w:val="32"/>
          <w:szCs w:val="32"/>
        </w:rPr>
        <w:t>万元，公务接待费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eastAsia="仿宋_GB2312"/>
          <w:kern w:val="0"/>
          <w:sz w:val="32"/>
          <w:szCs w:val="32"/>
        </w:rPr>
        <w:t>万元，其余没有预算支出；20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23</w:t>
      </w:r>
      <w:r>
        <w:rPr>
          <w:rFonts w:hint="eastAsia" w:eastAsia="仿宋_GB2312"/>
          <w:kern w:val="0"/>
          <w:sz w:val="32"/>
          <w:szCs w:val="32"/>
        </w:rPr>
        <w:t>年“三公”经费支出实际支出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0.38</w:t>
      </w:r>
      <w:r>
        <w:rPr>
          <w:rFonts w:hint="eastAsia" w:eastAsia="仿宋_GB2312"/>
          <w:kern w:val="0"/>
          <w:sz w:val="32"/>
          <w:szCs w:val="32"/>
        </w:rPr>
        <w:t>万元，其中：因公出国（境）费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/>
          <w:kern w:val="0"/>
          <w:sz w:val="32"/>
          <w:szCs w:val="32"/>
        </w:rPr>
        <w:t>万元，公务用车运行维护费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/>
          <w:kern w:val="0"/>
          <w:sz w:val="32"/>
          <w:szCs w:val="32"/>
        </w:rPr>
        <w:t>万元，公务接待费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0.38</w:t>
      </w:r>
      <w:r>
        <w:rPr>
          <w:rFonts w:hint="eastAsia" w:eastAsia="仿宋_GB2312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left"/>
        <w:textAlignment w:val="auto"/>
        <w:rPr>
          <w:rFonts w:hint="eastAsia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截至20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23</w:t>
      </w:r>
      <w:r>
        <w:rPr>
          <w:rFonts w:hint="eastAsia" w:eastAsia="仿宋_GB2312"/>
          <w:kern w:val="0"/>
          <w:sz w:val="32"/>
          <w:szCs w:val="32"/>
        </w:rPr>
        <w:t>年12月31日，本单位</w:t>
      </w:r>
      <w:r>
        <w:rPr>
          <w:rFonts w:hint="eastAsia" w:eastAsia="仿宋_GB2312"/>
          <w:kern w:val="0"/>
          <w:sz w:val="32"/>
          <w:szCs w:val="32"/>
          <w:lang w:eastAsia="zh-CN"/>
        </w:rPr>
        <w:t>固定资产年末原值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42.05</w:t>
      </w:r>
      <w:r>
        <w:rPr>
          <w:rFonts w:hint="eastAsia" w:eastAsia="仿宋_GB2312"/>
          <w:kern w:val="0"/>
          <w:sz w:val="32"/>
          <w:szCs w:val="32"/>
          <w:lang w:eastAsia="zh-CN"/>
        </w:rPr>
        <w:t>万元，均为在用的固定资产；本单位</w:t>
      </w:r>
      <w:r>
        <w:rPr>
          <w:rFonts w:hint="eastAsia" w:eastAsia="仿宋_GB2312"/>
          <w:kern w:val="0"/>
          <w:sz w:val="32"/>
          <w:szCs w:val="32"/>
        </w:rPr>
        <w:t>共有公车平台托管车辆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/>
          <w:kern w:val="0"/>
          <w:sz w:val="32"/>
          <w:szCs w:val="32"/>
        </w:rPr>
        <w:t>辆，其中，领导干部用车0辆、机要通信用车0辆、应急保障用车0辆、执法执勤用车0辆、特种专业技术用车0辆、其他用车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/>
          <w:kern w:val="0"/>
          <w:sz w:val="32"/>
          <w:szCs w:val="32"/>
        </w:rPr>
        <w:t>辆，其他用车主要是用于一般性公务活动；单位价值50万元以上通用设备0台（套）；单位价值100万元以上专用设备0台（套）。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left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left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（四）</w:t>
      </w:r>
      <w:r>
        <w:rPr>
          <w:rFonts w:eastAsia="仿宋_GB2312"/>
          <w:kern w:val="0"/>
          <w:sz w:val="32"/>
          <w:szCs w:val="32"/>
        </w:rPr>
        <w:t>财政财务管理制度及执行情况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left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本单位在严格执行《会计法》、《预算法》等财政法规的同时制定了</w:t>
      </w:r>
      <w:r>
        <w:rPr>
          <w:rFonts w:hint="eastAsia" w:eastAsia="仿宋_GB2312"/>
          <w:kern w:val="0"/>
          <w:sz w:val="32"/>
          <w:szCs w:val="32"/>
        </w:rPr>
        <w:t>预算管理、收支管理、政府采购管理、国有资产管理、建设项目管理、合同管理</w:t>
      </w:r>
      <w:r>
        <w:rPr>
          <w:rFonts w:hint="eastAsia" w:eastAsia="仿宋_GB2312"/>
          <w:kern w:val="0"/>
          <w:sz w:val="32"/>
          <w:szCs w:val="32"/>
          <w:lang w:eastAsia="zh-CN"/>
        </w:rPr>
        <w:t>等财务管理</w:t>
      </w:r>
      <w:r>
        <w:rPr>
          <w:rFonts w:hint="eastAsia" w:eastAsia="仿宋_GB2312"/>
          <w:kern w:val="0"/>
          <w:sz w:val="32"/>
          <w:szCs w:val="32"/>
        </w:rPr>
        <w:t>制度</w:t>
      </w:r>
      <w:r>
        <w:rPr>
          <w:rFonts w:hint="eastAsia" w:eastAsia="仿宋_GB2312"/>
          <w:kern w:val="0"/>
          <w:sz w:val="32"/>
          <w:szCs w:val="32"/>
          <w:lang w:eastAsia="zh-CN"/>
        </w:rPr>
        <w:t>，并在实际工作中严格执行。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10" w:lineRule="atLeast"/>
        <w:ind w:left="0" w:right="0" w:firstLine="420"/>
        <w:jc w:val="both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</w:p>
    <w:p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二、部门（单位）整体支出绩效状况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部门年度整体工作目标任务完成情况，包括：财政资金支出产生的实际效益、社会公众与服务对象满意情况等。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根据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《</w:t>
      </w:r>
      <w:r>
        <w:rPr>
          <w:rFonts w:hint="eastAsia" w:ascii="仿宋_GB2312" w:hAnsi="仿宋" w:eastAsia="仿宋_GB2312" w:cs="仿宋"/>
          <w:sz w:val="32"/>
          <w:szCs w:val="32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</w:rPr>
        <w:t>年度新晃县部门（单位）整体支出绩效自评表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》</w:t>
      </w:r>
      <w:r>
        <w:rPr>
          <w:rFonts w:hint="eastAsia" w:eastAsia="仿宋_GB2312"/>
          <w:kern w:val="0"/>
          <w:sz w:val="32"/>
          <w:szCs w:val="32"/>
          <w:lang w:eastAsia="zh-CN"/>
        </w:rPr>
        <w:t>，自评分得分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91.5</w:t>
      </w:r>
      <w:r>
        <w:rPr>
          <w:rFonts w:hint="eastAsia" w:eastAsia="仿宋_GB2312"/>
          <w:kern w:val="0"/>
          <w:sz w:val="32"/>
          <w:szCs w:val="32"/>
          <w:lang w:eastAsia="zh-CN"/>
        </w:rPr>
        <w:t>分，整体支出绩效为“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优秀</w:t>
      </w:r>
      <w:r>
        <w:rPr>
          <w:rFonts w:hint="eastAsia" w:eastAsia="仿宋_GB2312"/>
          <w:kern w:val="0"/>
          <w:sz w:val="32"/>
          <w:szCs w:val="32"/>
          <w:lang w:eastAsia="zh-CN"/>
        </w:rPr>
        <w:t>”，主要绩效如下：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按时足额发放各类抚恤金、优待金、解困金共计1445余万元，为1922名优抚退役军人缴纳意外伤害保险11.53万元；为477人缴纳医保18.13万元；为45人发放4.5万元医疗救助；通过与民政、人社、残联等单位进行大数据对比分析，对低保、重疾等存在生活困难的退役军人实施精准帮扶，2023年实施困难救助25人次，援助金额16.3万元；积极与县内30余家医院、酒店、商场、车站等企事业单位开展签约合作，成立“退役军人服务驿站”，与优待证关联推出涉及医、食、住、行等各方面的优待政策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组织开展退役军人进军营等联谊活动，进一步深化军民共建。“八一”、春节期间，走访慰问武装部、消防大队、武警中队双拥共建单位，县、乡两级开展对退役军人、烈属全员走访慰问，实现对辖区近6000名退役军人走访慰问全覆盖，两节共发放纪念品12400份（折合人民币171万元），发放慰问金139余万元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3.精细化开展光荣院建设和管理，不断提高服务供养水平，投入30余万元，进一步实施光荣院居住环境提质升档。 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4.按照国家和省部署，统一认定标准、宣传口径、方法步骤，稳慎推进LC身份认定核查，SBWS群体61名退役军人全部认定身份并享受相关待遇，解决了历史性的“老大难”问题。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5.抓实自主择业退役军人适应性培训，组织退役军人参加线上线下招聘会7场次，发布就业信息150条次，68人实现上岗就业。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6.年度安置任务得到落实，年度9名符合政府安排工作退役士官，通过公开、公平、公正原则，全部定编到岗到县乡机关事业单位工作。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“退役军人创业创新带头人”培养行动成效显著，积极稳健推动退役军人创办实体，2023年全县退役军人创办的市场主体增至94家，其中企业33家，个体工商户61家，培育“农村电商领头羊”杨淼钦、“黄精种植专家”吴锋等一批产业带头人，成为县域经济发展的强劲助力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8.加强《关于加强新时代烈士褒扬工作的意见》《关于加强新时代烈士褒扬工作的若干措施》以及新修订的《烈士褒扬条例》《英雄烈士保护法》等政策制度的系统学习、宣传和贯彻。    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9.成功组织清明祭扫英烈、9.30烈士纪念日向烈士敬献花篮等系列活动。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10.与县人武部、档案局联合，全面完成对全县43名抗美援朝老兵口述视频资料和历史文物采集、拍摄、整理工作，并形成视频资料和影像档案成果。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积极争取、持续得到省厅对我县烈士纪念设施的整修项目资金关怀支持100余万元，龙溪烈士公园烈士纪念塔、纪念广场等得到全面整修翻新；在《怀化市城市公园条例》检查评估中，龙溪烈士公园获得市检查组领导及专家的高度评价。</w:t>
      </w:r>
    </w:p>
    <w:p>
      <w:pPr>
        <w:pStyle w:val="2"/>
        <w:rPr>
          <w:rFonts w:hint="default" w:eastAsia="仿宋_GB2312"/>
          <w:lang w:val="en-US" w:eastAsia="zh-CN"/>
        </w:rPr>
      </w:pPr>
    </w:p>
    <w:p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三、存在的问题及原因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一是</w:t>
      </w:r>
      <w:r>
        <w:rPr>
          <w:rFonts w:ascii="仿宋" w:hAnsi="仿宋" w:eastAsia="仿宋" w:cs="仿宋_GB2312"/>
          <w:sz w:val="32"/>
          <w:szCs w:val="32"/>
          <w:lang w:val="en-US" w:eastAsia="zh-CN"/>
        </w:rPr>
        <w:t>优抚对象抚恤补助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逐年提标，大病医疗救助支出较多，加上县级财政大部分靠上级转移支付，本级财政无力资金配套保障支出。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二是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优抚事业单位（烈士纪念设施）维修改造难度大，县级财政资金难已保障到位，提质扩容难已达标。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三是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人员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力量</w:t>
      </w:r>
      <w:r>
        <w:rPr>
          <w:rFonts w:hint="eastAsia" w:ascii="仿宋_GB2312" w:hAnsi="Times New Roman" w:eastAsia="仿宋_GB2312" w:cs="Times New Roman"/>
          <w:sz w:val="32"/>
          <w:szCs w:val="32"/>
        </w:rPr>
        <w:t>保障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还难以到位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。局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机关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编制空编较多，近期退休人员多，中心工作抽调人员多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，事务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工作</w:t>
      </w:r>
      <w:r>
        <w:rPr>
          <w:rFonts w:hint="eastAsia" w:ascii="仿宋_GB2312" w:hAnsi="Times New Roman" w:eastAsia="仿宋_GB2312" w:cs="Times New Roman"/>
          <w:sz w:val="32"/>
          <w:szCs w:val="32"/>
        </w:rPr>
        <w:t>繁重，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业务工作正常开展受到较严重</w:t>
      </w:r>
      <w:r>
        <w:rPr>
          <w:rFonts w:hint="eastAsia" w:ascii="仿宋_GB2312" w:hAnsi="Times New Roman" w:eastAsia="仿宋_GB2312" w:cs="Times New Roman"/>
          <w:sz w:val="32"/>
          <w:szCs w:val="32"/>
        </w:rPr>
        <w:t>影响。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四、提高财政资金绩效的措施与建议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针对存在的问题及有关情况，提出下一步提高本部门（单位）财政资金使用绩效的措施与建议。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/>
          <w:sz w:val="32"/>
          <w:szCs w:val="32"/>
          <w:lang w:val="en-US" w:eastAsia="zh-CN"/>
        </w:rPr>
        <w:t xml:space="preserve"> 一是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现阶段大环境项目资金非常紧张，合理的编制绩效目标显得尤为重要，切合实际的绩效目标可以</w:t>
      </w:r>
      <w:r>
        <w:rPr>
          <w:rFonts w:hint="eastAsia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让绩效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资金事半功倍。积极向</w:t>
      </w:r>
      <w:r>
        <w:rPr>
          <w:rFonts w:hint="eastAsia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上级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部门</w:t>
      </w:r>
      <w:r>
        <w:rPr>
          <w:rFonts w:hint="eastAsia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争取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资金</w:t>
      </w:r>
      <w:r>
        <w:rPr>
          <w:rFonts w:hint="eastAsia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,特别是优抚对象专项资金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烈士褒扬纪念设施建设资金、特殊困难援助资金等。大学生新兵奖励金及家属优待金缺口资金由县本级配套。</w:t>
      </w:r>
    </w:p>
    <w:p>
      <w:pPr>
        <w:pStyle w:val="2"/>
        <w:ind w:firstLine="64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二是烈士纪念设施维修改造相关资金积极向上级对口部门争取资金，同时争取县级配套资金。</w:t>
      </w:r>
    </w:p>
    <w:p>
      <w:pPr>
        <w:spacing w:line="560" w:lineRule="exact"/>
        <w:ind w:firstLine="40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向上级汇报人员配备的同时，</w:t>
      </w:r>
      <w:r>
        <w:rPr>
          <w:rFonts w:hint="eastAsia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加快完成县乡村三级人员的培训工作,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提高现有人员业务水平素质，提升业务办事效率，增强日常工作的完成准确率，提升服务对象的满意度。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五、附件（佐证依据）</w:t>
      </w:r>
    </w:p>
    <w:p>
      <w:pPr>
        <w:pStyle w:val="2"/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1.2023年新晃县退役军人事务局工作总结</w:t>
      </w:r>
    </w:p>
    <w:p>
      <w:pPr>
        <w:pStyle w:val="2"/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2.2023年新晃县退役军人事务局决算资料</w:t>
      </w:r>
    </w:p>
    <w:p>
      <w:pPr>
        <w:pStyle w:val="2"/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3.新晃县退役军人事务局内控制度资料</w:t>
      </w:r>
    </w:p>
    <w:p>
      <w:pPr>
        <w:pStyle w:val="2"/>
        <w:ind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4.2023年新晃县退役军人事务局部门整体支出绩效目标表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</w:t>
      </w:r>
    </w:p>
    <w:p>
      <w:pPr>
        <w:spacing w:line="560" w:lineRule="exact"/>
        <w:ind w:left="0" w:leftChars="0" w:firstLine="0" w:firstLineChars="0"/>
        <w:jc w:val="righ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新晃侗族自治县退役军人事务局</w:t>
      </w:r>
    </w:p>
    <w:p>
      <w:pPr>
        <w:jc w:val="both"/>
        <w:rPr>
          <w:rFonts w:eastAsia="仿宋_GB2312"/>
          <w:sz w:val="24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</w:rPr>
        <w:t xml:space="preserve">年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400" w:lineRule="exact"/>
        <w:jc w:val="left"/>
      </w:pPr>
    </w:p>
    <w:sectPr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NzhjYzU4ZTBkNTlmMjNhNmU0NThlYTk3YjE3MGMifQ=="/>
  </w:docVars>
  <w:rsids>
    <w:rsidRoot w:val="00000000"/>
    <w:rsid w:val="18DC5D75"/>
    <w:rsid w:val="192467BF"/>
    <w:rsid w:val="37732970"/>
    <w:rsid w:val="608265CC"/>
    <w:rsid w:val="69062CDE"/>
    <w:rsid w:val="7080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jc w:val="left"/>
    </w:pPr>
    <w:rPr>
      <w:rFonts w:ascii="仿宋_GB2312" w:hAnsi="仿宋_GB2312" w:eastAsia="仿宋_GB2312" w:cs="仿宋_GB2312"/>
      <w:kern w:val="0"/>
      <w:sz w:val="32"/>
      <w:szCs w:val="32"/>
      <w:lang w:val="zh-CN" w:bidi="zh-CN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7">
    <w:name w:val="Strong"/>
    <w:autoRedefine/>
    <w:qFormat/>
    <w:uiPriority w:val="0"/>
    <w:rPr>
      <w:b/>
      <w:bCs/>
    </w:rPr>
  </w:style>
  <w:style w:type="character" w:styleId="8">
    <w:name w:val="page number"/>
    <w:basedOn w:val="6"/>
    <w:autoRedefine/>
    <w:qFormat/>
    <w:uiPriority w:val="0"/>
  </w:style>
  <w:style w:type="paragraph" w:customStyle="1" w:styleId="9">
    <w:name w:val="正文1"/>
    <w:autoRedefine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2024-04-10T00:32:00Z</dcterms:created>
  <dc:creator>Administrator</dc:creator>
  <cp:lastModifiedBy>呆头呆脑の小豬</cp:lastModifiedBy>
  <dcterms:modified xsi:type="dcterms:W3CDTF">2024-04-12T06:29:31Z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1AB7709B3C1444349ECCE6DD8CBB80BE_12</vt:lpwstr>
  </property>
</Properties>
</file>